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EB4" w:rsidRPr="00386EB4" w:rsidRDefault="00386EB4" w:rsidP="00386EB4">
      <w:pPr>
        <w:spacing w:after="0" w:line="240" w:lineRule="auto"/>
        <w:ind w:right="750"/>
        <w:textAlignment w:val="baseline"/>
        <w:outlineLvl w:val="0"/>
        <w:rPr>
          <w:rFonts w:ascii="Arial" w:eastAsia="Times New Roman" w:hAnsi="Arial" w:cs="Arial"/>
          <w:b/>
          <w:bCs/>
          <w:color w:val="D7C2A8"/>
          <w:kern w:val="36"/>
          <w:sz w:val="48"/>
          <w:szCs w:val="48"/>
          <w:lang w:eastAsia="es-ES"/>
        </w:rPr>
      </w:pPr>
      <w:r w:rsidRPr="00386EB4">
        <w:rPr>
          <w:rFonts w:ascii="Arial" w:eastAsia="Times New Roman" w:hAnsi="Arial" w:cs="Arial"/>
          <w:b/>
          <w:bCs/>
          <w:color w:val="D7C2A8"/>
          <w:kern w:val="36"/>
          <w:sz w:val="48"/>
          <w:szCs w:val="48"/>
          <w:lang w:eastAsia="es-ES"/>
        </w:rPr>
        <w:t>Ley Helms-Burton: Vigente y renovada. Por Omar Pérez Salomón</w:t>
      </w:r>
    </w:p>
    <w:p w:rsidR="00386EB4" w:rsidRPr="00386EB4" w:rsidRDefault="00386EB4" w:rsidP="00386EB4">
      <w:pPr>
        <w:spacing w:after="0" w:line="240" w:lineRule="auto"/>
        <w:textAlignment w:val="baseline"/>
        <w:rPr>
          <w:rFonts w:ascii="inherit" w:eastAsia="Times New Roman" w:hAnsi="inherit" w:cs="Times New Roman"/>
          <w:caps/>
          <w:spacing w:val="12"/>
          <w:sz w:val="21"/>
          <w:szCs w:val="21"/>
          <w:lang w:eastAsia="es-ES"/>
        </w:rPr>
      </w:pPr>
      <w:r w:rsidRPr="00386EB4">
        <w:rPr>
          <w:rFonts w:ascii="inherit" w:eastAsia="Times New Roman" w:hAnsi="inherit" w:cs="Times New Roman"/>
          <w:caps/>
          <w:spacing w:val="12"/>
          <w:sz w:val="21"/>
          <w:szCs w:val="21"/>
          <w:lang w:eastAsia="es-ES"/>
        </w:rPr>
        <w:t> </w:t>
      </w:r>
      <w:hyperlink r:id="rId4" w:tooltip="8:54" w:history="1">
        <w:r w:rsidRPr="00386EB4">
          <w:rPr>
            <w:rFonts w:ascii="inherit" w:eastAsia="Times New Roman" w:hAnsi="inherit" w:cs="Times New Roman"/>
            <w:caps/>
            <w:color w:val="B94F25"/>
            <w:spacing w:val="12"/>
            <w:sz w:val="21"/>
            <w:szCs w:val="21"/>
            <w:bdr w:val="none" w:sz="0" w:space="0" w:color="auto" w:frame="1"/>
            <w:lang w:eastAsia="es-ES"/>
          </w:rPr>
          <w:t>16 MARZO, 2017</w:t>
        </w:r>
      </w:hyperlink>
      <w:r w:rsidRPr="00386EB4">
        <w:rPr>
          <w:rFonts w:ascii="inherit" w:eastAsia="Times New Roman" w:hAnsi="inherit" w:cs="Times New Roman"/>
          <w:caps/>
          <w:spacing w:val="12"/>
          <w:sz w:val="21"/>
          <w:szCs w:val="21"/>
          <w:bdr w:val="none" w:sz="0" w:space="0" w:color="auto" w:frame="1"/>
          <w:lang w:eastAsia="es-ES"/>
        </w:rPr>
        <w:t> DE </w:t>
      </w:r>
      <w:hyperlink r:id="rId5" w:tooltip="Ver todas las entradas de La pupila insomne" w:history="1">
        <w:r w:rsidRPr="00386EB4">
          <w:rPr>
            <w:rFonts w:ascii="inherit" w:eastAsia="Times New Roman" w:hAnsi="inherit" w:cs="Times New Roman"/>
            <w:caps/>
            <w:color w:val="B94F25"/>
            <w:spacing w:val="12"/>
            <w:sz w:val="21"/>
            <w:szCs w:val="21"/>
            <w:bdr w:val="none" w:sz="0" w:space="0" w:color="auto" w:frame="1"/>
            <w:lang w:eastAsia="es-ES"/>
          </w:rPr>
          <w:t>LA PUPILA INSOMNE</w:t>
        </w:r>
      </w:hyperlink>
    </w:p>
    <w:p w:rsidR="00386EB4" w:rsidRPr="00386EB4" w:rsidRDefault="00386EB4" w:rsidP="00386EB4">
      <w:pPr>
        <w:spacing w:after="0" w:line="240" w:lineRule="auto"/>
        <w:textAlignment w:val="baseline"/>
        <w:rPr>
          <w:rFonts w:ascii="inherit" w:eastAsia="Times New Roman" w:hAnsi="inherit" w:cs="Times New Roman"/>
          <w:sz w:val="29"/>
          <w:szCs w:val="29"/>
          <w:lang w:eastAsia="es-ES"/>
        </w:rPr>
      </w:pPr>
      <w:hyperlink r:id="rId6" w:anchor="comments" w:history="1">
        <w:r w:rsidRPr="00386EB4">
          <w:rPr>
            <w:rFonts w:ascii="inherit" w:eastAsia="Times New Roman" w:hAnsi="inherit" w:cs="Times New Roman"/>
            <w:color w:val="B94F25"/>
            <w:sz w:val="29"/>
            <w:szCs w:val="29"/>
            <w:bdr w:val="none" w:sz="0" w:space="0" w:color="auto" w:frame="1"/>
            <w:shd w:val="clear" w:color="auto" w:fill="000000"/>
            <w:lang w:eastAsia="es-ES"/>
          </w:rPr>
          <w:t>6</w:t>
        </w:r>
      </w:hyperlink>
    </w:p>
    <w:p w:rsidR="00386EB4" w:rsidRPr="00386EB4" w:rsidRDefault="00386EB4" w:rsidP="00386EB4">
      <w:pPr>
        <w:shd w:val="clear" w:color="auto" w:fill="FFFFFF"/>
        <w:spacing w:after="0" w:line="240" w:lineRule="atLeast"/>
        <w:textAlignment w:val="baseline"/>
        <w:rPr>
          <w:rFonts w:ascii="inherit" w:eastAsia="Times New Roman" w:hAnsi="inherit" w:cs="Arial"/>
          <w:color w:val="B29D85"/>
          <w:sz w:val="25"/>
          <w:szCs w:val="25"/>
          <w:lang w:eastAsia="es-ES"/>
        </w:rPr>
      </w:pPr>
      <w:r w:rsidRPr="00386EB4">
        <w:rPr>
          <w:rFonts w:ascii="inherit" w:eastAsia="Times New Roman" w:hAnsi="inherit" w:cs="Arial"/>
          <w:color w:val="B29D85"/>
          <w:sz w:val="25"/>
          <w:szCs w:val="25"/>
          <w:lang w:eastAsia="es-ES"/>
        </w:rPr>
        <w:t> </w:t>
      </w:r>
    </w:p>
    <w:p w:rsidR="00386EB4" w:rsidRPr="00386EB4" w:rsidRDefault="00386EB4" w:rsidP="00386EB4">
      <w:pPr>
        <w:shd w:val="clear" w:color="auto" w:fill="FFFFFF"/>
        <w:spacing w:after="0" w:line="240" w:lineRule="atLeast"/>
        <w:textAlignment w:val="baseline"/>
        <w:rPr>
          <w:rFonts w:ascii="inherit" w:eastAsia="Times New Roman" w:hAnsi="inherit" w:cs="Arial"/>
          <w:color w:val="B29D85"/>
          <w:sz w:val="25"/>
          <w:szCs w:val="25"/>
          <w:lang w:eastAsia="es-ES"/>
        </w:rPr>
      </w:pPr>
      <w:r w:rsidRPr="00386EB4">
        <w:rPr>
          <w:rFonts w:ascii="inherit" w:eastAsia="Times New Roman" w:hAnsi="inherit" w:cs="Arial"/>
          <w:color w:val="B29D85"/>
          <w:sz w:val="25"/>
          <w:szCs w:val="25"/>
          <w:lang w:eastAsia="es-ES"/>
        </w:rPr>
        <w:t> </w:t>
      </w:r>
    </w:p>
    <w:p w:rsidR="00386EB4" w:rsidRPr="00386EB4" w:rsidRDefault="00386EB4" w:rsidP="00386EB4">
      <w:pPr>
        <w:shd w:val="clear" w:color="auto" w:fill="FFFFFF"/>
        <w:spacing w:after="0" w:line="240" w:lineRule="atLeast"/>
        <w:textAlignment w:val="baseline"/>
        <w:rPr>
          <w:rFonts w:ascii="inherit" w:eastAsia="Times New Roman" w:hAnsi="inherit" w:cs="Arial"/>
          <w:color w:val="B29D85"/>
          <w:sz w:val="25"/>
          <w:szCs w:val="25"/>
          <w:lang w:eastAsia="es-ES"/>
        </w:rPr>
      </w:pPr>
      <w:r w:rsidRPr="00386EB4">
        <w:rPr>
          <w:rFonts w:ascii="inherit" w:eastAsia="Times New Roman" w:hAnsi="inherit" w:cs="Arial"/>
          <w:color w:val="B29D85"/>
          <w:sz w:val="25"/>
          <w:szCs w:val="25"/>
          <w:lang w:eastAsia="es-ES"/>
        </w:rPr>
        <w:t> </w:t>
      </w:r>
    </w:p>
    <w:p w:rsidR="00386EB4" w:rsidRPr="00386EB4" w:rsidRDefault="00386EB4" w:rsidP="00386EB4">
      <w:pPr>
        <w:shd w:val="clear" w:color="auto" w:fill="FFFFFF"/>
        <w:spacing w:after="0" w:line="240" w:lineRule="atLeast"/>
        <w:textAlignment w:val="baseline"/>
        <w:rPr>
          <w:rFonts w:ascii="inherit" w:eastAsia="Times New Roman" w:hAnsi="inherit" w:cs="Arial"/>
          <w:color w:val="B29D85"/>
          <w:sz w:val="25"/>
          <w:szCs w:val="25"/>
          <w:lang w:eastAsia="es-ES"/>
        </w:rPr>
      </w:pPr>
      <w:r w:rsidRPr="00386EB4">
        <w:rPr>
          <w:rFonts w:ascii="inherit" w:eastAsia="Times New Roman" w:hAnsi="inherit" w:cs="Arial"/>
          <w:color w:val="B29D85"/>
          <w:sz w:val="25"/>
          <w:szCs w:val="25"/>
          <w:lang w:eastAsia="es-ES"/>
        </w:rPr>
        <w:t> </w:t>
      </w:r>
    </w:p>
    <w:p w:rsidR="00386EB4" w:rsidRPr="00386EB4" w:rsidRDefault="00386EB4" w:rsidP="00386EB4">
      <w:pPr>
        <w:shd w:val="clear" w:color="auto" w:fill="FFFFFF"/>
        <w:spacing w:after="0" w:line="240" w:lineRule="atLeast"/>
        <w:textAlignment w:val="baseline"/>
        <w:rPr>
          <w:rFonts w:ascii="inherit" w:eastAsia="Times New Roman" w:hAnsi="inherit" w:cs="Arial"/>
          <w:color w:val="B29D85"/>
          <w:sz w:val="25"/>
          <w:szCs w:val="25"/>
          <w:lang w:eastAsia="es-ES"/>
        </w:rPr>
      </w:pPr>
      <w:r w:rsidRPr="00386EB4">
        <w:rPr>
          <w:rFonts w:ascii="inherit" w:eastAsia="Times New Roman" w:hAnsi="inherit" w:cs="Arial"/>
          <w:color w:val="B29D85"/>
          <w:sz w:val="25"/>
          <w:szCs w:val="25"/>
          <w:lang w:eastAsia="es-ES"/>
        </w:rPr>
        <w:t> </w:t>
      </w:r>
    </w:p>
    <w:p w:rsidR="00386EB4" w:rsidRPr="00386EB4" w:rsidRDefault="00386EB4" w:rsidP="00386EB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B29D85"/>
          <w:sz w:val="25"/>
          <w:szCs w:val="25"/>
          <w:lang w:eastAsia="es-ES"/>
        </w:rPr>
      </w:pPr>
      <w:r w:rsidRPr="00386EB4">
        <w:rPr>
          <w:rFonts w:ascii="inherit" w:eastAsia="Times New Roman" w:hAnsi="inherit" w:cs="Arial"/>
          <w:color w:val="B29D85"/>
          <w:sz w:val="25"/>
          <w:szCs w:val="25"/>
          <w:bdr w:val="none" w:sz="0" w:space="0" w:color="auto" w:frame="1"/>
          <w:lang w:eastAsia="es-ES"/>
        </w:rPr>
        <w:t> </w:t>
      </w:r>
    </w:p>
    <w:p w:rsidR="00386EB4" w:rsidRPr="00386EB4" w:rsidRDefault="00386EB4" w:rsidP="00386EB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B29D85"/>
          <w:sz w:val="25"/>
          <w:szCs w:val="25"/>
          <w:lang w:eastAsia="es-ES"/>
        </w:rPr>
      </w:pPr>
      <w:r w:rsidRPr="00386EB4">
        <w:rPr>
          <w:rFonts w:ascii="inherit" w:eastAsia="Times New Roman" w:hAnsi="inherit" w:cs="Arial"/>
          <w:color w:val="B29D85"/>
          <w:sz w:val="25"/>
          <w:szCs w:val="25"/>
          <w:lang w:eastAsia="es-ES"/>
        </w:rPr>
        <w:t>14 Votes</w:t>
      </w:r>
    </w:p>
    <w:p w:rsidR="00386EB4" w:rsidRPr="00386EB4" w:rsidRDefault="00386EB4" w:rsidP="00386EB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B29D85"/>
          <w:sz w:val="25"/>
          <w:szCs w:val="25"/>
          <w:lang w:eastAsia="es-ES"/>
        </w:rPr>
      </w:pPr>
      <w:r w:rsidRPr="00386EB4">
        <w:rPr>
          <w:rFonts w:ascii="Arial" w:eastAsia="Times New Roman" w:hAnsi="Arial" w:cs="Arial"/>
          <w:color w:val="B29D85"/>
          <w:sz w:val="25"/>
          <w:szCs w:val="25"/>
          <w:lang w:eastAsia="es-ES"/>
        </w:rPr>
        <w:br/>
      </w:r>
    </w:p>
    <w:p w:rsidR="00386EB4" w:rsidRPr="00386EB4" w:rsidRDefault="00386EB4" w:rsidP="00386EB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B29D85"/>
          <w:sz w:val="25"/>
          <w:szCs w:val="25"/>
          <w:lang w:eastAsia="es-ES"/>
        </w:rPr>
      </w:pPr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>Cuando el 12 de marzo de 1996 fue firmada por el presidente de Estados Unidos William Clinton, la llamada ley Helms-Burton, plataforma que dio continuidad a la política agresiva desarrollada por sucesivos gobiernos estadounidenses, se recrudeció el curso agresivo de la política contra Cuba.</w:t>
      </w:r>
    </w:p>
    <w:p w:rsidR="00386EB4" w:rsidRPr="00386EB4" w:rsidRDefault="00386EB4" w:rsidP="00386EB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B29D85"/>
          <w:sz w:val="25"/>
          <w:szCs w:val="25"/>
          <w:lang w:eastAsia="es-ES"/>
        </w:rPr>
      </w:pPr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>En el capítulo primero, la sección 109 se refiere a la autorización para dar apoyo a grupos “democráticos” y de “derechos humanos” en Cuba, es decir, a los grupúsculos que dentro de nuestro país sirven a los intereses del imperialismo norteamericano. Se trata de suministros de publicaciones y materiales informáticos, tales como libros, videos, y otros medios para realizar propaganda.</w:t>
      </w:r>
    </w:p>
    <w:p w:rsidR="00386EB4" w:rsidRPr="00386EB4" w:rsidRDefault="00386EB4" w:rsidP="00386EB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B29D85"/>
          <w:sz w:val="25"/>
          <w:szCs w:val="25"/>
          <w:lang w:eastAsia="es-ES"/>
        </w:rPr>
      </w:pPr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>En la sección 115 del propio capítulo se aclara que para las actividades de los servicios de inteligencia, para la provocación y la subversión contra nuestro país se podrían seguir disponiendo recursos. “Nada en esta ley, prohíbe las actividades de investigación, de protección, o de inteligencia debidamente autorizadas que llevan a cabo agencias encargadas de aplicar la ley, o agencias de inteligencia de los Estados Unidos”.</w:t>
      </w:r>
    </w:p>
    <w:p w:rsidR="00386EB4" w:rsidRPr="00386EB4" w:rsidRDefault="00386EB4" w:rsidP="00386EB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B29D85"/>
          <w:sz w:val="25"/>
          <w:szCs w:val="25"/>
          <w:lang w:eastAsia="es-ES"/>
        </w:rPr>
      </w:pPr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>Las líneas de acción de estas secciones se han cumplido al pie de la letra en estos 21 años de vigencia.</w:t>
      </w:r>
    </w:p>
    <w:p w:rsidR="00386EB4" w:rsidRPr="00386EB4" w:rsidRDefault="00386EB4" w:rsidP="00386EB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B29D85"/>
          <w:sz w:val="25"/>
          <w:szCs w:val="25"/>
          <w:lang w:eastAsia="es-ES"/>
        </w:rPr>
      </w:pPr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 xml:space="preserve">Un ejemplo de ello es que la Rand </w:t>
      </w:r>
      <w:proofErr w:type="spellStart"/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>Corporation</w:t>
      </w:r>
      <w:proofErr w:type="spellEnd"/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 xml:space="preserve"> – tanque pensante del Pentágono – realizó varias investigaciones que recomiendan el desarrollo de una política estadounidense de información y comunicaciones destinada a “ayudar a abrir el sistema cerrado de Cuba y fomentar el surgimiento de una sociedad civil independiente”.</w:t>
      </w:r>
    </w:p>
    <w:p w:rsidR="00386EB4" w:rsidRPr="00386EB4" w:rsidRDefault="00386EB4" w:rsidP="00386EB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B29D85"/>
          <w:sz w:val="25"/>
          <w:szCs w:val="25"/>
          <w:lang w:eastAsia="es-ES"/>
        </w:rPr>
      </w:pPr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 xml:space="preserve">Uno de esos estudios, realizado por Larry </w:t>
      </w:r>
      <w:proofErr w:type="spellStart"/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>Press</w:t>
      </w:r>
      <w:proofErr w:type="spellEnd"/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 xml:space="preserve"> en 1996, tenía como fin mejorar el conocimiento sobre la situación de las telecomunicaciones de Cuba, en especial las perspectivas para ampliar la red de computadoras con acceso a internet, y serviría como documento base para un proyecto sobre “Actores, resultados y política estadounidense para una Cuba en proceso de cambio”.</w:t>
      </w:r>
    </w:p>
    <w:p w:rsidR="00386EB4" w:rsidRPr="00386EB4" w:rsidRDefault="00386EB4" w:rsidP="00386EB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B29D85"/>
          <w:sz w:val="25"/>
          <w:szCs w:val="25"/>
          <w:lang w:eastAsia="es-ES"/>
        </w:rPr>
      </w:pPr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>En la investigación: “Las telecomunicaciones cubanas, la red de computación y las implicaciones en la política de los Estados Unidos” se plantea que en 1996 Cuba ya contaba con cuatro redes con conexiones internacionales a la internet – Red del Centro de Ingeniería Genética y Biotecnología (</w:t>
      </w:r>
      <w:proofErr w:type="spellStart"/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>CIGBnet</w:t>
      </w:r>
      <w:proofErr w:type="spellEnd"/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 xml:space="preserve">), Centro de Intercambio </w:t>
      </w:r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lastRenderedPageBreak/>
        <w:t xml:space="preserve">Automatizado de Información (CENIAI), </w:t>
      </w:r>
      <w:proofErr w:type="spellStart"/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>TinoRed</w:t>
      </w:r>
      <w:proofErr w:type="spellEnd"/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 xml:space="preserve"> de los Joven Club e </w:t>
      </w:r>
      <w:proofErr w:type="spellStart"/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>Infomed</w:t>
      </w:r>
      <w:proofErr w:type="spellEnd"/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 xml:space="preserve"> – y reconoce que: “A pesar de los serios problemas económicos, desde 1992, las redes cubanas han crecido notablemente, tanto en dimensión como en calidad, principalmente debido a que el gobierno cubano ha permitido y financiado dicho crecimiento”</w:t>
      </w:r>
      <w:bookmarkStart w:id="0" w:name="_ftnref1"/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fldChar w:fldCharType="begin"/>
      </w:r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instrText xml:space="preserve"> HYPERLINK "https://lapupilainsomne.wordpress.com/2017/03/16/ley-helms-burton-vigente-y-renovada-por-omar-perez-salomon/" \l "_ftn1" </w:instrText>
      </w:r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fldChar w:fldCharType="separate"/>
      </w:r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>[1]</w:t>
      </w:r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fldChar w:fldCharType="end"/>
      </w:r>
      <w:bookmarkEnd w:id="0"/>
    </w:p>
    <w:p w:rsidR="00386EB4" w:rsidRPr="00386EB4" w:rsidRDefault="00386EB4" w:rsidP="00386EB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B29D85"/>
          <w:sz w:val="25"/>
          <w:szCs w:val="25"/>
          <w:lang w:eastAsia="es-ES"/>
        </w:rPr>
      </w:pPr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>En las recomendaciones realizadas llama la atención que se proponen varias medidas dirigidas a incrementar la injerencia en los asuntos cubanos utilizando las redes informáticas, embrión de las acciones que en fechas más recientes han ejecutado agencias y mercenarios al servicio del gobierno de Estados Unidos contra la mayor de las Antillas.</w:t>
      </w:r>
    </w:p>
    <w:p w:rsidR="00386EB4" w:rsidRPr="00386EB4" w:rsidRDefault="00386EB4" w:rsidP="00386EB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B29D85"/>
          <w:sz w:val="25"/>
          <w:szCs w:val="25"/>
          <w:lang w:eastAsia="es-ES"/>
        </w:rPr>
      </w:pPr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 xml:space="preserve">Entre ellas tenemos: estimular una conexión directa IP con Internet para brindar a los cubanos un acceso interactivo a materiales del extranjero; dar una respuesta rápida a la solicitud que hiciera la empresa </w:t>
      </w:r>
      <w:proofErr w:type="spellStart"/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>WilTel</w:t>
      </w:r>
      <w:proofErr w:type="spellEnd"/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 xml:space="preserve"> de un permiso para construir un cable óptico entre los Estados Unidos y Cuba, pendiente desde marzo de 1994, y a otras solicitudes para brindar diferentes servicios relacionados con datos; fomentar los viajes desde Cuba con fines de adiestramiento y capacitación en la administración de las redes informáticas, y otras formas de intercambio técnico.</w:t>
      </w:r>
    </w:p>
    <w:p w:rsidR="00386EB4" w:rsidRPr="00386EB4" w:rsidRDefault="00386EB4" w:rsidP="00386EB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B29D85"/>
          <w:sz w:val="25"/>
          <w:szCs w:val="25"/>
          <w:lang w:eastAsia="es-ES"/>
        </w:rPr>
      </w:pPr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>Además, apoyar a los usuarios cubanos, en especial a las ONG con adiestramiento, equipos y cubriendo los costos de la comunicación. En este sentido se explica que, “las ONG, los Clubes de Computación para los jóvenes, las universidades y los investigadores en la esfera de la biotecnología nos parecen merecer que se les apoye. Las ONG y los investigadores de la rama biotecnológica contribuyen al apoyo a los derechos humanos y al logro de los objetivos relativos a la política de acceso al conocimiento; los Clubes de Computación para los jóvenes y las universidades pueden contribuir directamente al adiestramiento de la comunidad de usuarios exigentes necesaria para lograr una potente red”.</w:t>
      </w:r>
    </w:p>
    <w:p w:rsidR="00386EB4" w:rsidRPr="00386EB4" w:rsidRDefault="00386EB4" w:rsidP="00386EB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B29D85"/>
          <w:sz w:val="25"/>
          <w:szCs w:val="25"/>
          <w:lang w:eastAsia="es-ES"/>
        </w:rPr>
      </w:pPr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 xml:space="preserve">“Dado que con una subvención directa se corre el riesgo de que las organizaciones beneficiarias salten demasiado a la vista, pudiera preferirse la subvención indirecta. Esta acción puede canalizarse a través de una serie de organizaciones, fundaciones y compañías profesionales internacionales. Hay muchas actividades de este tipo en los países en desarrollo. Por ejemplo, el PNUD y la Fundación Soros apoyan los proyectos de redes informáticas y la Internet </w:t>
      </w:r>
      <w:proofErr w:type="spellStart"/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>Society</w:t>
      </w:r>
      <w:proofErr w:type="spellEnd"/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 xml:space="preserve"> organiza anualmente talleres para los que trabajan con redes en países en desarrollo. Asimismo, se debe fomentar y facilitar el apoyo de las compañías privadas, particularmente el de aquellas que tienen negocios de computación y de conexión de redes. Además, debemos subrayar que las pequeñas inversiones pueden lograr un avance significativo, ya que las redes cubanas operan con un presupuesto muy limitado.”</w:t>
      </w:r>
      <w:bookmarkStart w:id="1" w:name="_ftnref2"/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fldChar w:fldCharType="begin"/>
      </w:r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instrText xml:space="preserve"> HYPERLINK "https://lapupilainsomne.wordpress.com/2017/03/16/ley-helms-burton-vigente-y-renovada-por-omar-perez-salomon/" \l "_ftn2" </w:instrText>
      </w:r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fldChar w:fldCharType="separate"/>
      </w:r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>[2]</w:t>
      </w:r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fldChar w:fldCharType="end"/>
      </w:r>
      <w:bookmarkEnd w:id="1"/>
    </w:p>
    <w:p w:rsidR="00386EB4" w:rsidRPr="00386EB4" w:rsidRDefault="00386EB4" w:rsidP="00386EB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B29D85"/>
          <w:sz w:val="25"/>
          <w:szCs w:val="25"/>
          <w:lang w:eastAsia="es-ES"/>
        </w:rPr>
      </w:pPr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>El gobierno estadounidense destina recursos multimillonarios a la quinta columna que organizan como parte de su política de “cambio de régimen” en nuestro país. Informaciones publicadas por medios de prensa norteamericanos demuestran que desde el año 1996 y hasta el 2011 el Congreso de ese país destinó 205 millones de dólares para ello.</w:t>
      </w:r>
    </w:p>
    <w:p w:rsidR="00386EB4" w:rsidRPr="00386EB4" w:rsidRDefault="00386EB4" w:rsidP="00386EB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B29D85"/>
          <w:sz w:val="25"/>
          <w:szCs w:val="25"/>
          <w:lang w:eastAsia="es-ES"/>
        </w:rPr>
      </w:pPr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 xml:space="preserve">El caso de Alan </w:t>
      </w:r>
      <w:proofErr w:type="spellStart"/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>Gross</w:t>
      </w:r>
      <w:proofErr w:type="spellEnd"/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 xml:space="preserve">, la operación </w:t>
      </w:r>
      <w:proofErr w:type="spellStart"/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>Zunzuneo</w:t>
      </w:r>
      <w:proofErr w:type="spellEnd"/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 xml:space="preserve"> y la actuación en torno al sector no estatal cubano, confirman que la ley Helms-Burton se ha renovado en su aplicación.</w:t>
      </w:r>
    </w:p>
    <w:bookmarkStart w:id="2" w:name="_ftn1"/>
    <w:p w:rsidR="00386EB4" w:rsidRPr="00386EB4" w:rsidRDefault="00386EB4" w:rsidP="00386EB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B29D85"/>
          <w:sz w:val="25"/>
          <w:szCs w:val="25"/>
          <w:lang w:eastAsia="es-ES"/>
        </w:rPr>
      </w:pPr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fldChar w:fldCharType="begin"/>
      </w:r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instrText xml:space="preserve"> HYPERLINK "https://lapupilainsomne.wordpress.com/2017/03/16/ley-helms-burton-vigente-y-renovada-por-omar-perez-salomon/" \l "_ftnref1" </w:instrText>
      </w:r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fldChar w:fldCharType="separate"/>
      </w:r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>[1]</w:t>
      </w:r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fldChar w:fldCharType="end"/>
      </w:r>
      <w:bookmarkEnd w:id="2"/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 xml:space="preserve"> Informe de la Rand </w:t>
      </w:r>
      <w:proofErr w:type="spellStart"/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>Corporation</w:t>
      </w:r>
      <w:proofErr w:type="spellEnd"/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>: Las telecomunicaciones cubanas, la red de computación y las implicaciones en la política de los Estados Unidos. Elaborado para la Oficina del Secretario de Defensa de Estados Unidos, julio de 1996, p.1-49.</w:t>
      </w:r>
    </w:p>
    <w:bookmarkStart w:id="3" w:name="_ftn2"/>
    <w:p w:rsidR="00386EB4" w:rsidRPr="00386EB4" w:rsidRDefault="00386EB4" w:rsidP="00386EB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B29D85"/>
          <w:sz w:val="25"/>
          <w:szCs w:val="25"/>
          <w:lang w:eastAsia="es-ES"/>
        </w:rPr>
      </w:pPr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fldChar w:fldCharType="begin"/>
      </w:r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instrText xml:space="preserve"> HYPERLINK "https://lapupilainsomne.wordpress.com/2017/03/16/ley-helms-burton-vigente-y-renovada-por-omar-perez-salomon/" \l "_ftnref2" </w:instrText>
      </w:r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fldChar w:fldCharType="separate"/>
      </w:r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>[2]</w:t>
      </w:r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fldChar w:fldCharType="end"/>
      </w:r>
      <w:bookmarkEnd w:id="3"/>
      <w:r w:rsidRPr="00386EB4">
        <w:rPr>
          <w:rFonts w:ascii="inherit" w:eastAsia="Times New Roman" w:hAnsi="inherit" w:cs="Arial"/>
          <w:color w:val="000000"/>
          <w:sz w:val="25"/>
          <w:szCs w:val="25"/>
          <w:bdr w:val="none" w:sz="0" w:space="0" w:color="auto" w:frame="1"/>
          <w:lang w:eastAsia="es-ES"/>
        </w:rPr>
        <w:t> Ibídem.</w:t>
      </w:r>
    </w:p>
    <w:p w:rsidR="00421BC8" w:rsidRDefault="00421BC8">
      <w:bookmarkStart w:id="4" w:name="_GoBack"/>
      <w:bookmarkEnd w:id="4"/>
    </w:p>
    <w:sectPr w:rsidR="00421B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EB4"/>
    <w:rsid w:val="00386EB4"/>
    <w:rsid w:val="00421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4BCDAD-AED4-4CDA-924E-35843BBF5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386E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86EB4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386EB4"/>
    <w:rPr>
      <w:color w:val="0000FF"/>
      <w:u w:val="single"/>
    </w:rPr>
  </w:style>
  <w:style w:type="character" w:customStyle="1" w:styleId="byline">
    <w:name w:val="byline"/>
    <w:basedOn w:val="Fuentedeprrafopredeter"/>
    <w:rsid w:val="00386EB4"/>
  </w:style>
  <w:style w:type="character" w:customStyle="1" w:styleId="author">
    <w:name w:val="author"/>
    <w:basedOn w:val="Fuentedeprrafopredeter"/>
    <w:rsid w:val="00386EB4"/>
  </w:style>
  <w:style w:type="paragraph" w:customStyle="1" w:styleId="comments-link">
    <w:name w:val="comments-link"/>
    <w:basedOn w:val="Normal"/>
    <w:rsid w:val="00386E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386E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712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59513">
          <w:marLeft w:val="0"/>
          <w:marRight w:val="0"/>
          <w:marTop w:val="3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7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1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050009">
                      <w:marLeft w:val="0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879433">
                      <w:marLeft w:val="0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62748">
                      <w:marLeft w:val="0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767483">
                      <w:marLeft w:val="0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851342">
                      <w:marLeft w:val="0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apupilainsomne.wordpress.com/2017/03/16/ley-helms-burton-vigente-y-renovada-por-omar-perez-salomon/" TargetMode="External"/><Relationship Id="rId5" Type="http://schemas.openxmlformats.org/officeDocument/2006/relationships/hyperlink" Target="https://lapupilainsomne.wordpress.com/author/iroelsanchez/" TargetMode="External"/><Relationship Id="rId4" Type="http://schemas.openxmlformats.org/officeDocument/2006/relationships/hyperlink" Target="https://lapupilainsomne.wordpress.com/2017/03/16/ley-helms-burton-vigente-y-renovada-por-omar-perez-salomon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1057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Azopardo</dc:creator>
  <cp:keywords/>
  <dc:description/>
  <cp:lastModifiedBy>Elizabeth Azopardo</cp:lastModifiedBy>
  <cp:revision>1</cp:revision>
  <dcterms:created xsi:type="dcterms:W3CDTF">2018-12-14T16:26:00Z</dcterms:created>
  <dcterms:modified xsi:type="dcterms:W3CDTF">2018-12-14T16:27:00Z</dcterms:modified>
</cp:coreProperties>
</file>